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0903F06F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>Dodávky potravin pro stravovací provoz Pardubické nemocnice – mléko a mléčné výrobky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7169EF10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E85E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560CF901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0D496536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mléka a mléčných výrobků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5C84C93A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3 900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C57D80B" w:rsidR="00FF16F5" w:rsidRPr="00715E06" w:rsidRDefault="00C24265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532 03 Pardubice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64C2264A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920C96">
        <w:rPr>
          <w:rFonts w:ascii="Calibri" w:hAnsi="Calibri" w:cs="Calibri"/>
          <w:sz w:val="22"/>
          <w:szCs w:val="22"/>
        </w:rPr>
        <w:t>mléka</w:t>
      </w:r>
      <w:r w:rsidR="003D06A7">
        <w:rPr>
          <w:rFonts w:ascii="Calibri" w:hAnsi="Calibri" w:cs="Calibri"/>
          <w:sz w:val="22"/>
          <w:szCs w:val="22"/>
        </w:rPr>
        <w:t xml:space="preserve"> nebo </w:t>
      </w:r>
      <w:r w:rsidR="00920C96">
        <w:rPr>
          <w:rFonts w:ascii="Calibri" w:hAnsi="Calibri" w:cs="Calibri"/>
          <w:sz w:val="22"/>
          <w:szCs w:val="22"/>
        </w:rPr>
        <w:t>mléčných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mléka a mléčných výrobků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 xml:space="preserve">V objednávce bude uvedený požadovaný termín </w:t>
      </w:r>
      <w:r>
        <w:rPr>
          <w:rFonts w:ascii="Calibri" w:hAnsi="Calibri" w:cs="Calibri"/>
          <w:sz w:val="22"/>
          <w:szCs w:val="22"/>
        </w:rPr>
        <w:lastRenderedPageBreak/>
        <w:t>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7CDBEA7D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Pardubická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bez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lastRenderedPageBreak/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obsažená jsou jim jasná a srozumitelná, jsou jimi míněna vážně a učiněna na základě jejich pravé a svobodné vůle. Na důkaz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2250</TotalTime>
  <Pages>10</Pages>
  <Words>3583</Words>
  <Characters>21143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37</cp:revision>
  <cp:lastPrinted>2018-10-01T07:59:00Z</cp:lastPrinted>
  <dcterms:created xsi:type="dcterms:W3CDTF">2022-02-09T13:00:00Z</dcterms:created>
  <dcterms:modified xsi:type="dcterms:W3CDTF">2025-03-04T14:53:00Z</dcterms:modified>
</cp:coreProperties>
</file>